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DB" w:rsidRDefault="00280C43" w:rsidP="00476785">
      <w:pPr>
        <w:jc w:val="center"/>
        <w:rPr>
          <w:sz w:val="28"/>
          <w:szCs w:val="28"/>
        </w:rPr>
      </w:pPr>
      <w:r w:rsidRPr="00280C43">
        <w:rPr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dvance - NC State University" style="width:102.75pt;height:45pt">
            <v:imagedata r:id="rId7" r:href="rId8"/>
          </v:shape>
        </w:pict>
      </w:r>
    </w:p>
    <w:p w:rsidR="004A7E91" w:rsidRPr="00476785" w:rsidRDefault="00476785" w:rsidP="00476785">
      <w:pPr>
        <w:jc w:val="center"/>
        <w:rPr>
          <w:sz w:val="28"/>
          <w:szCs w:val="28"/>
        </w:rPr>
      </w:pPr>
      <w:r w:rsidRPr="00476785">
        <w:rPr>
          <w:sz w:val="28"/>
          <w:szCs w:val="28"/>
        </w:rPr>
        <w:t>Developing Diverse Departments</w:t>
      </w:r>
      <w:r w:rsidR="00761E66">
        <w:rPr>
          <w:sz w:val="28"/>
          <w:szCs w:val="28"/>
        </w:rPr>
        <w:t xml:space="preserve"> (D3)</w:t>
      </w:r>
      <w:r w:rsidR="00CF73DB">
        <w:rPr>
          <w:sz w:val="28"/>
          <w:szCs w:val="28"/>
        </w:rPr>
        <w:t xml:space="preserve"> at NC State</w:t>
      </w:r>
    </w:p>
    <w:p w:rsidR="00476785" w:rsidRPr="00761E66" w:rsidRDefault="00CF73DB" w:rsidP="00476785">
      <w:pPr>
        <w:rPr>
          <w:sz w:val="28"/>
          <w:szCs w:val="28"/>
        </w:rPr>
      </w:pPr>
      <w:r w:rsidRPr="00761E66">
        <w:rPr>
          <w:sz w:val="28"/>
          <w:szCs w:val="28"/>
        </w:rPr>
        <w:t>Goals</w:t>
      </w:r>
    </w:p>
    <w:p w:rsidR="00187B1E" w:rsidRPr="00E90A8D" w:rsidRDefault="00187B1E" w:rsidP="00761E66">
      <w:pPr>
        <w:numPr>
          <w:ilvl w:val="0"/>
          <w:numId w:val="2"/>
        </w:numPr>
        <w:contextualSpacing/>
        <w:rPr>
          <w:i/>
          <w:sz w:val="24"/>
          <w:szCs w:val="24"/>
        </w:rPr>
      </w:pPr>
      <w:r w:rsidRPr="00E90A8D">
        <w:rPr>
          <w:i/>
          <w:sz w:val="24"/>
          <w:szCs w:val="24"/>
        </w:rPr>
        <w:t xml:space="preserve">Increase female share of senior faculty </w:t>
      </w:r>
      <w:r w:rsidR="009F4FE7" w:rsidRPr="00E90A8D">
        <w:rPr>
          <w:i/>
          <w:sz w:val="24"/>
          <w:szCs w:val="24"/>
        </w:rPr>
        <w:t>and visibility of women faculty</w:t>
      </w:r>
      <w:r w:rsidR="00E90A8D" w:rsidRPr="00E90A8D">
        <w:rPr>
          <w:i/>
          <w:sz w:val="24"/>
          <w:szCs w:val="24"/>
        </w:rPr>
        <w:t xml:space="preserve">, and </w:t>
      </w:r>
      <w:r w:rsidRPr="00E90A8D">
        <w:rPr>
          <w:i/>
          <w:sz w:val="24"/>
          <w:szCs w:val="24"/>
        </w:rPr>
        <w:t xml:space="preserve">Increase </w:t>
      </w:r>
      <w:r w:rsidR="00E90A8D">
        <w:rPr>
          <w:i/>
          <w:sz w:val="24"/>
          <w:szCs w:val="24"/>
        </w:rPr>
        <w:t xml:space="preserve">presence of </w:t>
      </w:r>
      <w:r w:rsidRPr="00E90A8D">
        <w:rPr>
          <w:i/>
          <w:sz w:val="24"/>
          <w:szCs w:val="24"/>
        </w:rPr>
        <w:t>faculty of color at all ranks</w:t>
      </w:r>
    </w:p>
    <w:p w:rsidR="00187B1E" w:rsidRPr="00E90A8D" w:rsidRDefault="00187B1E" w:rsidP="00761E66">
      <w:pPr>
        <w:numPr>
          <w:ilvl w:val="0"/>
          <w:numId w:val="2"/>
        </w:numPr>
        <w:contextualSpacing/>
        <w:rPr>
          <w:i/>
          <w:sz w:val="24"/>
          <w:szCs w:val="24"/>
        </w:rPr>
      </w:pPr>
      <w:r w:rsidRPr="00E90A8D">
        <w:rPr>
          <w:i/>
          <w:sz w:val="24"/>
          <w:szCs w:val="24"/>
        </w:rPr>
        <w:t>Increase women in line leadership</w:t>
      </w:r>
      <w:r w:rsidR="00CF73DB" w:rsidRPr="00E90A8D">
        <w:rPr>
          <w:i/>
          <w:sz w:val="24"/>
          <w:szCs w:val="24"/>
        </w:rPr>
        <w:t xml:space="preserve"> positions</w:t>
      </w:r>
      <w:r w:rsidR="00E90A8D" w:rsidRPr="00E90A8D">
        <w:rPr>
          <w:i/>
          <w:sz w:val="24"/>
          <w:szCs w:val="24"/>
        </w:rPr>
        <w:t xml:space="preserve"> and </w:t>
      </w:r>
      <w:r w:rsidR="00E90A8D">
        <w:rPr>
          <w:i/>
          <w:sz w:val="24"/>
          <w:szCs w:val="24"/>
        </w:rPr>
        <w:t>c</w:t>
      </w:r>
      <w:r w:rsidRPr="00E90A8D">
        <w:rPr>
          <w:i/>
          <w:sz w:val="24"/>
          <w:szCs w:val="24"/>
        </w:rPr>
        <w:t xml:space="preserve">ultivate </w:t>
      </w:r>
      <w:r w:rsidR="00CF73DB" w:rsidRPr="00E90A8D">
        <w:rPr>
          <w:i/>
          <w:sz w:val="24"/>
          <w:szCs w:val="24"/>
        </w:rPr>
        <w:t xml:space="preserve">men and women </w:t>
      </w:r>
      <w:r w:rsidRPr="00E90A8D">
        <w:rPr>
          <w:i/>
          <w:sz w:val="24"/>
          <w:szCs w:val="24"/>
        </w:rPr>
        <w:t>leaders as change agents</w:t>
      </w:r>
    </w:p>
    <w:p w:rsidR="00187B1E" w:rsidRPr="00761E66" w:rsidRDefault="00187B1E" w:rsidP="00761E66">
      <w:pPr>
        <w:numPr>
          <w:ilvl w:val="0"/>
          <w:numId w:val="2"/>
        </w:numPr>
        <w:contextualSpacing/>
        <w:rPr>
          <w:i/>
          <w:sz w:val="24"/>
          <w:szCs w:val="24"/>
        </w:rPr>
      </w:pPr>
      <w:r w:rsidRPr="00761E66">
        <w:rPr>
          <w:i/>
          <w:sz w:val="24"/>
          <w:szCs w:val="24"/>
        </w:rPr>
        <w:t xml:space="preserve">Improve attitudes about increasing hiring of women and faculty of color </w:t>
      </w:r>
    </w:p>
    <w:p w:rsidR="00CF73DB" w:rsidRDefault="00CF73DB" w:rsidP="00CF73DB">
      <w:pPr>
        <w:spacing w:line="240" w:lineRule="auto"/>
        <w:ind w:left="720"/>
        <w:contextualSpacing/>
        <w:rPr>
          <w:i/>
          <w:sz w:val="28"/>
          <w:szCs w:val="28"/>
        </w:rPr>
      </w:pPr>
    </w:p>
    <w:p w:rsidR="00CF73DB" w:rsidRPr="00CF73DB" w:rsidRDefault="00CF73DB" w:rsidP="00CF73D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Components of the D3 Project</w:t>
      </w:r>
    </w:p>
    <w:p w:rsidR="00CF73DB" w:rsidRPr="00761E66" w:rsidRDefault="00761E66" w:rsidP="00761E6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ADVANCE Scholars: Core group of faculty committed to becoming knowledgeable and effective change agents</w:t>
      </w:r>
    </w:p>
    <w:p w:rsidR="00761E66" w:rsidRPr="00761E66" w:rsidRDefault="00761E66" w:rsidP="00761E6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61E66">
        <w:rPr>
          <w:sz w:val="24"/>
          <w:szCs w:val="24"/>
        </w:rPr>
        <w:t>Leadership Development Workshops for Women and Faculty of Color</w:t>
      </w:r>
      <w:r w:rsidR="009E2B73">
        <w:rPr>
          <w:sz w:val="24"/>
          <w:szCs w:val="24"/>
        </w:rPr>
        <w:t>: M</w:t>
      </w:r>
      <w:r w:rsidR="00474E5F">
        <w:rPr>
          <w:sz w:val="24"/>
          <w:szCs w:val="24"/>
        </w:rPr>
        <w:t>oti</w:t>
      </w:r>
      <w:r w:rsidR="00E90A8D">
        <w:rPr>
          <w:sz w:val="24"/>
          <w:szCs w:val="24"/>
        </w:rPr>
        <w:t>vate tenured faculty to enter</w:t>
      </w:r>
      <w:r w:rsidR="00474E5F">
        <w:rPr>
          <w:sz w:val="24"/>
          <w:szCs w:val="24"/>
        </w:rPr>
        <w:t xml:space="preserve"> line leadership career paths.</w:t>
      </w:r>
    </w:p>
    <w:p w:rsidR="00761E66" w:rsidRPr="00E90A8D" w:rsidRDefault="00761E66" w:rsidP="00E90A8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61E66">
        <w:rPr>
          <w:sz w:val="24"/>
          <w:szCs w:val="24"/>
        </w:rPr>
        <w:t>Climate Workshops for Department Heads</w:t>
      </w:r>
      <w:r w:rsidR="009E2B73">
        <w:rPr>
          <w:sz w:val="24"/>
          <w:szCs w:val="24"/>
        </w:rPr>
        <w:t>: Focus on cultivating a supportive and inclusive department climate for diverse faculty.</w:t>
      </w:r>
    </w:p>
    <w:p w:rsidR="00761E66" w:rsidRDefault="00761E66" w:rsidP="00761E66">
      <w:pPr>
        <w:pStyle w:val="ListParagraph"/>
        <w:spacing w:after="0"/>
      </w:pPr>
    </w:p>
    <w:p w:rsidR="00761E66" w:rsidRDefault="00761E66" w:rsidP="00761E66">
      <w:pPr>
        <w:spacing w:after="0"/>
        <w:rPr>
          <w:sz w:val="28"/>
          <w:szCs w:val="28"/>
        </w:rPr>
      </w:pPr>
      <w:r w:rsidRPr="00761E66">
        <w:rPr>
          <w:sz w:val="28"/>
          <w:szCs w:val="28"/>
        </w:rPr>
        <w:t>ADVANCE Scholars</w:t>
      </w:r>
    </w:p>
    <w:p w:rsidR="006F072C" w:rsidRDefault="00E90A8D" w:rsidP="00761E66">
      <w:pPr>
        <w:spacing w:after="0"/>
        <w:rPr>
          <w:sz w:val="24"/>
          <w:szCs w:val="24"/>
        </w:rPr>
      </w:pPr>
      <w:r>
        <w:rPr>
          <w:sz w:val="24"/>
          <w:szCs w:val="24"/>
        </w:rPr>
        <w:t>Seventeen faculty have made a t</w:t>
      </w:r>
      <w:r w:rsidR="00474E5F">
        <w:rPr>
          <w:sz w:val="24"/>
          <w:szCs w:val="24"/>
        </w:rPr>
        <w:t>hree-yea</w:t>
      </w:r>
      <w:r>
        <w:rPr>
          <w:sz w:val="24"/>
          <w:szCs w:val="24"/>
        </w:rPr>
        <w:t>r commitment to serve as ADVANCE Scholars. These faculty m</w:t>
      </w:r>
      <w:r w:rsidR="00474E5F">
        <w:rPr>
          <w:sz w:val="24"/>
          <w:szCs w:val="24"/>
        </w:rPr>
        <w:t>eet monthly to study leadership and social bias</w:t>
      </w:r>
      <w:r>
        <w:rPr>
          <w:sz w:val="24"/>
          <w:szCs w:val="24"/>
        </w:rPr>
        <w:t>. Their role is to</w:t>
      </w:r>
      <w:r w:rsidR="00474E5F">
        <w:rPr>
          <w:sz w:val="24"/>
          <w:szCs w:val="24"/>
        </w:rPr>
        <w:t xml:space="preserve"> promote d</w:t>
      </w:r>
      <w:r w:rsidR="009B3A59">
        <w:rPr>
          <w:sz w:val="24"/>
          <w:szCs w:val="24"/>
        </w:rPr>
        <w:t xml:space="preserve">iscussion among colleagues, and </w:t>
      </w:r>
      <w:r w:rsidR="00474E5F">
        <w:rPr>
          <w:sz w:val="24"/>
          <w:szCs w:val="24"/>
        </w:rPr>
        <w:t>serve as a resource for college and department diversity efforts.</w:t>
      </w:r>
      <w:r w:rsidR="009B3A59">
        <w:rPr>
          <w:sz w:val="24"/>
          <w:szCs w:val="24"/>
        </w:rPr>
        <w:t xml:space="preserve"> All 10 colleges are represented and each ADVANCE Scholar is </w:t>
      </w:r>
      <w:r>
        <w:rPr>
          <w:sz w:val="24"/>
          <w:szCs w:val="24"/>
        </w:rPr>
        <w:t xml:space="preserve">charged with </w:t>
      </w:r>
      <w:r w:rsidR="009B3A59">
        <w:rPr>
          <w:sz w:val="24"/>
          <w:szCs w:val="24"/>
        </w:rPr>
        <w:t>developing an initiative relevant to their college sparked by the seminar discussions.</w:t>
      </w:r>
    </w:p>
    <w:p w:rsidR="00474E5F" w:rsidRPr="006F072C" w:rsidRDefault="00474E5F" w:rsidP="00761E66">
      <w:pPr>
        <w:spacing w:after="0"/>
        <w:rPr>
          <w:sz w:val="24"/>
          <w:szCs w:val="24"/>
        </w:rPr>
      </w:pPr>
    </w:p>
    <w:p w:rsidR="00761E66" w:rsidRDefault="009F4FE7" w:rsidP="00761E66">
      <w:pPr>
        <w:spacing w:after="0"/>
        <w:rPr>
          <w:sz w:val="28"/>
          <w:szCs w:val="28"/>
        </w:rPr>
      </w:pPr>
      <w:r>
        <w:rPr>
          <w:sz w:val="28"/>
          <w:szCs w:val="28"/>
        </w:rPr>
        <w:t>Leadership Development Workshops for Women and Faculty of Color</w:t>
      </w:r>
    </w:p>
    <w:p w:rsidR="00474E5F" w:rsidRDefault="00474E5F" w:rsidP="00761E66">
      <w:pPr>
        <w:spacing w:after="0"/>
        <w:rPr>
          <w:sz w:val="24"/>
          <w:szCs w:val="24"/>
        </w:rPr>
      </w:pPr>
      <w:r>
        <w:rPr>
          <w:sz w:val="24"/>
          <w:szCs w:val="24"/>
        </w:rPr>
        <w:t>Se</w:t>
      </w:r>
      <w:r w:rsidR="009B3A59">
        <w:rPr>
          <w:sz w:val="24"/>
          <w:szCs w:val="24"/>
        </w:rPr>
        <w:t>ries of 6 workshops offered once each</w:t>
      </w:r>
      <w:r>
        <w:rPr>
          <w:sz w:val="24"/>
          <w:szCs w:val="24"/>
        </w:rPr>
        <w:t xml:space="preserve"> year</w:t>
      </w:r>
      <w:r w:rsidR="009B3A59">
        <w:rPr>
          <w:sz w:val="24"/>
          <w:szCs w:val="24"/>
        </w:rPr>
        <w:t>, and each year a new group of faculty participate. The workshops in</w:t>
      </w:r>
      <w:r w:rsidR="00E90A8D">
        <w:rPr>
          <w:sz w:val="24"/>
          <w:szCs w:val="24"/>
        </w:rPr>
        <w:t>clude p</w:t>
      </w:r>
      <w:r>
        <w:rPr>
          <w:sz w:val="24"/>
          <w:szCs w:val="24"/>
        </w:rPr>
        <w:t>anels of department heads,</w:t>
      </w:r>
      <w:r w:rsidR="00E90A8D">
        <w:rPr>
          <w:sz w:val="24"/>
          <w:szCs w:val="24"/>
        </w:rPr>
        <w:t xml:space="preserve"> deans, and university leaders and discussions of readings focused on the themes of career planning, self-discovery related to becoming a leader, benefits and challenges and skills needed in different roles.</w:t>
      </w:r>
    </w:p>
    <w:p w:rsidR="00E90A8D" w:rsidRPr="00474E5F" w:rsidRDefault="00E90A8D" w:rsidP="00761E66">
      <w:pPr>
        <w:spacing w:after="0"/>
        <w:rPr>
          <w:sz w:val="24"/>
          <w:szCs w:val="24"/>
        </w:rPr>
      </w:pPr>
    </w:p>
    <w:p w:rsidR="009F4FE7" w:rsidRDefault="009F4FE7" w:rsidP="00761E66">
      <w:pPr>
        <w:spacing w:after="0"/>
        <w:rPr>
          <w:sz w:val="28"/>
          <w:szCs w:val="28"/>
        </w:rPr>
      </w:pPr>
      <w:r>
        <w:rPr>
          <w:sz w:val="28"/>
          <w:szCs w:val="28"/>
        </w:rPr>
        <w:t>Climate Workshops for Department Heads</w:t>
      </w:r>
    </w:p>
    <w:p w:rsidR="009E2B73" w:rsidRDefault="009E2B73" w:rsidP="006F072C">
      <w:pPr>
        <w:spacing w:after="0"/>
        <w:rPr>
          <w:sz w:val="28"/>
          <w:szCs w:val="28"/>
        </w:rPr>
      </w:pPr>
      <w:r w:rsidRPr="009E2B73">
        <w:rPr>
          <w:sz w:val="24"/>
          <w:szCs w:val="24"/>
        </w:rPr>
        <w:t>Series of</w:t>
      </w:r>
      <w:r>
        <w:rPr>
          <w:sz w:val="24"/>
          <w:szCs w:val="24"/>
        </w:rPr>
        <w:t xml:space="preserve"> 3 small-group workshops offered to a different cohort each year. Seven department heads participated in 2009-10. This workshop series provides information and strategies to department heads interested in strengthening their department’s climate for diversity. The series is centered around a survey of the faculty and staff of the participating departments, interpreting the results, and developing an action plan.</w:t>
      </w:r>
      <w:r w:rsidR="009F4FE7">
        <w:rPr>
          <w:sz w:val="28"/>
          <w:szCs w:val="28"/>
        </w:rPr>
        <w:br w:type="page"/>
      </w:r>
      <w:r w:rsidR="0068784F" w:rsidRPr="00280C43">
        <w:rPr>
          <w:color w:val="333333"/>
          <w:sz w:val="21"/>
          <w:szCs w:val="21"/>
        </w:rPr>
        <w:pict>
          <v:shape id="_x0000_i1026" type="#_x0000_t75" alt="Advance - NC State University" style="width:102.75pt;height:45pt">
            <v:imagedata r:id="rId7" r:href="rId9"/>
          </v:shape>
        </w:pict>
      </w:r>
    </w:p>
    <w:p w:rsidR="009E2B73" w:rsidRDefault="009E2B73" w:rsidP="006F072C">
      <w:pPr>
        <w:spacing w:after="0"/>
        <w:rPr>
          <w:sz w:val="28"/>
          <w:szCs w:val="28"/>
        </w:rPr>
      </w:pPr>
    </w:p>
    <w:p w:rsidR="006F072C" w:rsidRPr="00761E66" w:rsidRDefault="00474E5F" w:rsidP="006F0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Faculty Demographics: </w:t>
      </w:r>
      <w:r w:rsidR="006F072C">
        <w:rPr>
          <w:sz w:val="28"/>
          <w:szCs w:val="28"/>
        </w:rPr>
        <w:t>Are we on Track with Projections Made in 2006 Proposal?</w:t>
      </w:r>
    </w:p>
    <w:p w:rsidR="009F4FE7" w:rsidRDefault="00280C43">
      <w:p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6pt;margin-top:288.5pt;width:554.75pt;height:76.5pt;z-index:251660288;mso-width-relative:margin;mso-height-relative:margin" o:allowincell="f">
            <v:textbox style="mso-next-textbox:#_x0000_s1026">
              <w:txbxContent>
                <w:p w:rsidR="009E2B73" w:rsidRDefault="009E2B73" w:rsidP="004C7CF5">
                  <w:pPr>
                    <w:spacing w:after="0" w:line="240" w:lineRule="auto"/>
                  </w:pPr>
                  <w:r>
                    <w:t xml:space="preserve">African American, Native American, and Hispanic </w:t>
                  </w:r>
                  <w:r w:rsidR="006B6690">
                    <w:t xml:space="preserve"> (ANH) </w:t>
                  </w:r>
                  <w:r>
                    <w:t>Administrators – all NC State departments are included.</w:t>
                  </w:r>
                </w:p>
                <w:p w:rsidR="009E2B73" w:rsidRDefault="009E2B73" w:rsidP="004C7CF5">
                  <w:pPr>
                    <w:spacing w:after="0" w:line="240" w:lineRule="auto"/>
                  </w:pPr>
                </w:p>
                <w:p w:rsidR="009E2B73" w:rsidRDefault="009E2B73" w:rsidP="00474E5F">
                  <w:pPr>
                    <w:spacing w:after="0" w:line="240" w:lineRule="auto"/>
                  </w:pPr>
                  <w:r>
                    <w:t xml:space="preserve"> *Heads: 2006 Art &amp; Design, Graphic &amp; Industrial Design; 2009 Art &amp; Design, MIE, Graphic &amp; Industrial Design</w:t>
                  </w:r>
                </w:p>
                <w:p w:rsidR="009E2B73" w:rsidRDefault="009E2B73" w:rsidP="00474E5F">
                  <w:pPr>
                    <w:spacing w:after="0" w:line="240" w:lineRule="auto"/>
                  </w:pPr>
                  <w:r>
                    <w:t>** Associate Deans: 2006 Textiles, Graduate School;   2009 COE, Textiles, Graduate School</w:t>
                  </w:r>
                </w:p>
                <w:p w:rsidR="009E2B73" w:rsidRPr="00F12EDD" w:rsidRDefault="009E2B73" w:rsidP="00474E5F">
                  <w:pPr>
                    <w:spacing w:line="240" w:lineRule="auto"/>
                  </w:pPr>
                  <w:r w:rsidRPr="00F12EDD">
                    <w:rPr>
                      <w:rFonts w:ascii="Trebuchet MS" w:hAnsi="Trebuchet MS"/>
                      <w:vertAlign w:val="superscript"/>
                    </w:rPr>
                    <w:t xml:space="preserve">† </w:t>
                  </w:r>
                  <w:r w:rsidRPr="00F12EDD">
                    <w:t xml:space="preserve">Deans: </w:t>
                  </w:r>
                  <w:r>
                    <w:t xml:space="preserve">2006 </w:t>
                  </w:r>
                  <w:r w:rsidRPr="00F12EDD">
                    <w:t>COE</w:t>
                  </w:r>
                  <w:r>
                    <w:t>, DUAP; 2009</w:t>
                  </w:r>
                  <w:r w:rsidRPr="00F12EDD">
                    <w:t xml:space="preserve"> COE, CED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Y="30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44"/>
        <w:gridCol w:w="1440"/>
        <w:gridCol w:w="1440"/>
        <w:gridCol w:w="1260"/>
        <w:gridCol w:w="1530"/>
        <w:gridCol w:w="1710"/>
        <w:gridCol w:w="1440"/>
      </w:tblGrid>
      <w:tr w:rsidR="009E2B73" w:rsidRPr="009B1BE3" w:rsidTr="009E2B73">
        <w:trPr>
          <w:trHeight w:val="358"/>
        </w:trPr>
        <w:tc>
          <w:tcPr>
            <w:tcW w:w="1944" w:type="dxa"/>
            <w:tcBorders>
              <w:top w:val="single" w:sz="8" w:space="0" w:color="EAEAEA"/>
              <w:left w:val="single" w:sz="8" w:space="0" w:color="EAEAEA"/>
              <w:bottom w:val="single" w:sz="24" w:space="0" w:color="EAEAEA"/>
              <w:right w:val="single" w:sz="8" w:space="0" w:color="EAEAE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EAEAEA"/>
              <w:left w:val="single" w:sz="8" w:space="0" w:color="EAEAEA"/>
              <w:bottom w:val="single" w:sz="24" w:space="0" w:color="EAEAEA"/>
              <w:right w:val="single" w:sz="8" w:space="0" w:color="EAEAE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9B1BE3">
              <w:rPr>
                <w:rFonts w:asciiTheme="minorHAnsi" w:eastAsiaTheme="minorHAnsi" w:hAnsiTheme="minorHAnsi" w:cstheme="minorBidi"/>
                <w:bCs/>
              </w:rPr>
              <w:t>Women</w:t>
            </w:r>
            <w:r>
              <w:rPr>
                <w:rFonts w:asciiTheme="minorHAnsi" w:eastAsiaTheme="minorHAnsi" w:hAnsiTheme="minorHAnsi" w:cstheme="minorBidi"/>
                <w:bCs/>
              </w:rPr>
              <w:t xml:space="preserve"> Faculty at NC State</w:t>
            </w:r>
          </w:p>
        </w:tc>
        <w:tc>
          <w:tcPr>
            <w:tcW w:w="4680" w:type="dxa"/>
            <w:gridSpan w:val="3"/>
            <w:tcBorders>
              <w:top w:val="single" w:sz="8" w:space="0" w:color="EAEAEA"/>
              <w:left w:val="single" w:sz="8" w:space="0" w:color="EAEAEA"/>
              <w:bottom w:val="single" w:sz="24" w:space="0" w:color="EAEAEA"/>
              <w:right w:val="single" w:sz="8" w:space="0" w:color="EAEAE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9B1BE3">
              <w:rPr>
                <w:rFonts w:asciiTheme="minorHAnsi" w:eastAsiaTheme="minorHAnsi" w:hAnsiTheme="minorHAnsi" w:cstheme="minorBidi"/>
                <w:bCs/>
              </w:rPr>
              <w:t>African American/Hispanic/Native American</w:t>
            </w:r>
            <w:r>
              <w:rPr>
                <w:rFonts w:asciiTheme="minorHAnsi" w:eastAsiaTheme="minorHAnsi" w:hAnsiTheme="minorHAnsi" w:cstheme="minorBidi"/>
                <w:bCs/>
              </w:rPr>
              <w:t xml:space="preserve"> Faculty at NC State</w:t>
            </w:r>
          </w:p>
        </w:tc>
      </w:tr>
      <w:tr w:rsidR="009E2B73" w:rsidRPr="009B1BE3" w:rsidTr="009E2B73">
        <w:trPr>
          <w:trHeight w:val="358"/>
        </w:trPr>
        <w:tc>
          <w:tcPr>
            <w:tcW w:w="1944" w:type="dxa"/>
            <w:tcBorders>
              <w:top w:val="single" w:sz="8" w:space="0" w:color="EAEAEA"/>
              <w:left w:val="single" w:sz="8" w:space="0" w:color="EAEAEA"/>
              <w:bottom w:val="single" w:sz="24" w:space="0" w:color="EAEAEA"/>
              <w:right w:val="single" w:sz="8" w:space="0" w:color="EAEAE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tcBorders>
              <w:top w:val="single" w:sz="8" w:space="0" w:color="EAEAEA"/>
              <w:left w:val="single" w:sz="8" w:space="0" w:color="EAEAEA"/>
              <w:bottom w:val="single" w:sz="24" w:space="0" w:color="EAEAEA"/>
              <w:right w:val="single" w:sz="8" w:space="0" w:color="EAEAE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B1BE3">
              <w:rPr>
                <w:rFonts w:asciiTheme="minorHAnsi" w:eastAsiaTheme="minorHAnsi" w:hAnsiTheme="minorHAnsi" w:cstheme="minorBidi"/>
                <w:bCs/>
              </w:rPr>
              <w:t xml:space="preserve">2006 </w:t>
            </w:r>
          </w:p>
        </w:tc>
        <w:tc>
          <w:tcPr>
            <w:tcW w:w="1440" w:type="dxa"/>
            <w:tcBorders>
              <w:top w:val="single" w:sz="8" w:space="0" w:color="EAEAEA"/>
              <w:left w:val="single" w:sz="8" w:space="0" w:color="EAEAEA"/>
              <w:bottom w:val="single" w:sz="24" w:space="0" w:color="EAEAEA"/>
              <w:right w:val="single" w:sz="8" w:space="0" w:color="EAEAE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B1BE3">
              <w:rPr>
                <w:rFonts w:asciiTheme="minorHAnsi" w:eastAsiaTheme="minorHAnsi" w:hAnsiTheme="minorHAnsi" w:cstheme="minorBidi"/>
                <w:bCs/>
              </w:rPr>
              <w:t xml:space="preserve">2009 </w:t>
            </w:r>
          </w:p>
        </w:tc>
        <w:tc>
          <w:tcPr>
            <w:tcW w:w="1260" w:type="dxa"/>
            <w:tcBorders>
              <w:top w:val="single" w:sz="8" w:space="0" w:color="EAEAEA"/>
              <w:left w:val="single" w:sz="8" w:space="0" w:color="EAEAEA"/>
              <w:bottom w:val="single" w:sz="24" w:space="0" w:color="EAEAEA"/>
              <w:right w:val="single" w:sz="8" w:space="0" w:color="EAEAEA"/>
            </w:tcBorders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  <w:bCs/>
              </w:rPr>
            </w:pPr>
            <w:r w:rsidRPr="009B1BE3">
              <w:rPr>
                <w:rFonts w:asciiTheme="minorHAnsi" w:eastAsiaTheme="minorHAnsi" w:hAnsiTheme="minorHAnsi" w:cstheme="minorBidi"/>
                <w:bCs/>
              </w:rPr>
              <w:t>Projected/ Possible for 2011</w:t>
            </w:r>
          </w:p>
        </w:tc>
        <w:tc>
          <w:tcPr>
            <w:tcW w:w="1530" w:type="dxa"/>
            <w:tcBorders>
              <w:top w:val="single" w:sz="8" w:space="0" w:color="EAEAEA"/>
              <w:left w:val="single" w:sz="8" w:space="0" w:color="EAEAEA"/>
              <w:bottom w:val="single" w:sz="24" w:space="0" w:color="EAEAEA"/>
              <w:right w:val="single" w:sz="8" w:space="0" w:color="EAEAE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B1BE3">
              <w:rPr>
                <w:rFonts w:asciiTheme="minorHAnsi" w:eastAsiaTheme="minorHAnsi" w:hAnsiTheme="minorHAnsi" w:cstheme="minorBidi"/>
              </w:rPr>
              <w:t>2006</w:t>
            </w:r>
          </w:p>
        </w:tc>
        <w:tc>
          <w:tcPr>
            <w:tcW w:w="1710" w:type="dxa"/>
            <w:tcBorders>
              <w:top w:val="single" w:sz="8" w:space="0" w:color="EAEAEA"/>
              <w:left w:val="single" w:sz="8" w:space="0" w:color="EAEAEA"/>
              <w:bottom w:val="single" w:sz="24" w:space="0" w:color="EAEAEA"/>
              <w:right w:val="single" w:sz="8" w:space="0" w:color="EAEAE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B1BE3">
              <w:rPr>
                <w:rFonts w:asciiTheme="minorHAnsi" w:eastAsiaTheme="minorHAnsi" w:hAnsiTheme="minorHAnsi" w:cstheme="minorBidi"/>
              </w:rPr>
              <w:t>2009</w:t>
            </w:r>
          </w:p>
        </w:tc>
        <w:tc>
          <w:tcPr>
            <w:tcW w:w="1440" w:type="dxa"/>
            <w:tcBorders>
              <w:top w:val="single" w:sz="8" w:space="0" w:color="EAEAEA"/>
              <w:left w:val="single" w:sz="8" w:space="0" w:color="EAEAEA"/>
              <w:bottom w:val="single" w:sz="24" w:space="0" w:color="EAEAEA"/>
              <w:right w:val="single" w:sz="8" w:space="0" w:color="EAEAEA"/>
            </w:tcBorders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  <w:bCs/>
              </w:rPr>
            </w:pPr>
            <w:r w:rsidRPr="009B1BE3">
              <w:rPr>
                <w:rFonts w:asciiTheme="minorHAnsi" w:eastAsiaTheme="minorHAnsi" w:hAnsiTheme="minorHAnsi" w:cstheme="minorBidi"/>
                <w:bCs/>
              </w:rPr>
              <w:t>Projected/ Possible for 2011</w:t>
            </w:r>
          </w:p>
        </w:tc>
      </w:tr>
      <w:tr w:rsidR="009E2B73" w:rsidRPr="009B1BE3" w:rsidTr="009E2B73">
        <w:trPr>
          <w:trHeight w:val="246"/>
        </w:trPr>
        <w:tc>
          <w:tcPr>
            <w:tcW w:w="1944" w:type="dxa"/>
            <w:tcBorders>
              <w:top w:val="single" w:sz="24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B1BE3">
              <w:rPr>
                <w:rFonts w:asciiTheme="minorHAnsi" w:eastAsiaTheme="minorHAnsi" w:hAnsiTheme="minorHAnsi" w:cstheme="minorBidi"/>
              </w:rPr>
              <w:t xml:space="preserve">TT Asst Professors </w:t>
            </w:r>
          </w:p>
        </w:tc>
        <w:tc>
          <w:tcPr>
            <w:tcW w:w="1440" w:type="dxa"/>
            <w:tcBorders>
              <w:top w:val="single" w:sz="24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B1BE3">
              <w:rPr>
                <w:rFonts w:asciiTheme="minorHAnsi" w:eastAsiaTheme="minorHAnsi" w:hAnsiTheme="minorHAnsi" w:cstheme="minorBidi"/>
              </w:rPr>
              <w:t xml:space="preserve">38% </w:t>
            </w:r>
          </w:p>
        </w:tc>
        <w:tc>
          <w:tcPr>
            <w:tcW w:w="1440" w:type="dxa"/>
            <w:tcBorders>
              <w:top w:val="single" w:sz="24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B1BE3">
              <w:rPr>
                <w:rFonts w:asciiTheme="minorHAnsi" w:eastAsiaTheme="minorHAnsi" w:hAnsiTheme="minorHAnsi" w:cstheme="minorBidi"/>
              </w:rPr>
              <w:t xml:space="preserve">39% </w:t>
            </w:r>
          </w:p>
        </w:tc>
        <w:tc>
          <w:tcPr>
            <w:tcW w:w="1260" w:type="dxa"/>
            <w:tcBorders>
              <w:top w:val="single" w:sz="24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0" w:type="dxa"/>
            <w:tcBorders>
              <w:top w:val="single" w:sz="24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B1BE3">
              <w:rPr>
                <w:rFonts w:asciiTheme="minorHAnsi" w:eastAsiaTheme="minorHAnsi" w:hAnsiTheme="minorHAnsi" w:cstheme="minorBidi"/>
              </w:rPr>
              <w:t>8% (25)</w:t>
            </w:r>
          </w:p>
        </w:tc>
        <w:tc>
          <w:tcPr>
            <w:tcW w:w="1710" w:type="dxa"/>
            <w:tcBorders>
              <w:top w:val="single" w:sz="24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B1BE3">
              <w:rPr>
                <w:rFonts w:asciiTheme="minorHAnsi" w:eastAsiaTheme="minorHAnsi" w:hAnsiTheme="minorHAnsi" w:cstheme="minorBidi"/>
              </w:rPr>
              <w:t>9% (28)</w:t>
            </w:r>
          </w:p>
        </w:tc>
        <w:tc>
          <w:tcPr>
            <w:tcW w:w="1440" w:type="dxa"/>
            <w:tcBorders>
              <w:top w:val="single" w:sz="24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2B73" w:rsidRPr="009B1BE3" w:rsidTr="009E2B73">
        <w:trPr>
          <w:trHeight w:val="376"/>
        </w:trPr>
        <w:tc>
          <w:tcPr>
            <w:tcW w:w="194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Tenured F</w:t>
            </w:r>
            <w:r w:rsidRPr="009B1BE3">
              <w:rPr>
                <w:rFonts w:asciiTheme="minorHAnsi" w:eastAsiaTheme="minorHAnsi" w:hAnsiTheme="minorHAnsi" w:cstheme="minorBidi"/>
              </w:rPr>
              <w:t xml:space="preserve">aculty </w:t>
            </w:r>
          </w:p>
        </w:tc>
        <w:tc>
          <w:tcPr>
            <w:tcW w:w="14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B1BE3">
              <w:rPr>
                <w:rFonts w:asciiTheme="minorHAnsi" w:eastAsiaTheme="minorHAnsi" w:hAnsiTheme="minorHAnsi" w:cstheme="minorBidi"/>
              </w:rPr>
              <w:t xml:space="preserve">19% </w:t>
            </w:r>
          </w:p>
        </w:tc>
        <w:tc>
          <w:tcPr>
            <w:tcW w:w="14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B1BE3">
              <w:rPr>
                <w:rFonts w:asciiTheme="minorHAnsi" w:eastAsiaTheme="minorHAnsi" w:hAnsiTheme="minorHAnsi" w:cstheme="minorBidi"/>
              </w:rPr>
              <w:t xml:space="preserve">21% </w:t>
            </w:r>
          </w:p>
        </w:tc>
        <w:tc>
          <w:tcPr>
            <w:tcW w:w="12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B1BE3">
              <w:rPr>
                <w:rFonts w:asciiTheme="minorHAnsi" w:eastAsiaTheme="minorHAnsi" w:hAnsiTheme="minorHAnsi" w:cstheme="minorBidi"/>
              </w:rPr>
              <w:t>22%/26%</w:t>
            </w:r>
          </w:p>
        </w:tc>
        <w:tc>
          <w:tcPr>
            <w:tcW w:w="153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B1BE3">
              <w:rPr>
                <w:rFonts w:asciiTheme="minorHAnsi" w:eastAsiaTheme="minorHAnsi" w:hAnsiTheme="minorHAnsi" w:cstheme="minorBidi"/>
              </w:rPr>
              <w:t>6% (61)</w:t>
            </w:r>
          </w:p>
        </w:tc>
        <w:tc>
          <w:tcPr>
            <w:tcW w:w="171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B1BE3">
              <w:rPr>
                <w:rFonts w:asciiTheme="minorHAnsi" w:eastAsiaTheme="minorHAnsi" w:hAnsiTheme="minorHAnsi" w:cstheme="minorBidi"/>
              </w:rPr>
              <w:t>6% (67)</w:t>
            </w:r>
          </w:p>
        </w:tc>
        <w:tc>
          <w:tcPr>
            <w:tcW w:w="14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B1BE3">
              <w:rPr>
                <w:rFonts w:asciiTheme="minorHAnsi" w:eastAsiaTheme="minorHAnsi" w:hAnsiTheme="minorHAnsi" w:cstheme="minorBidi"/>
              </w:rPr>
              <w:t>7%/12%</w:t>
            </w:r>
          </w:p>
        </w:tc>
      </w:tr>
      <w:tr w:rsidR="009E2B73" w:rsidRPr="009B1BE3" w:rsidTr="009E2B73">
        <w:trPr>
          <w:trHeight w:val="286"/>
        </w:trPr>
        <w:tc>
          <w:tcPr>
            <w:tcW w:w="194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Tenured Full P</w:t>
            </w:r>
            <w:r w:rsidRPr="009B1BE3">
              <w:rPr>
                <w:rFonts w:asciiTheme="minorHAnsi" w:eastAsiaTheme="minorHAnsi" w:hAnsiTheme="minorHAnsi" w:cstheme="minorBidi"/>
              </w:rPr>
              <w:t>rof</w:t>
            </w:r>
          </w:p>
        </w:tc>
        <w:tc>
          <w:tcPr>
            <w:tcW w:w="14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B1BE3">
              <w:rPr>
                <w:rFonts w:asciiTheme="minorHAnsi" w:eastAsiaTheme="minorHAnsi" w:hAnsiTheme="minorHAnsi" w:cstheme="minorBidi"/>
              </w:rPr>
              <w:t xml:space="preserve">14% </w:t>
            </w:r>
          </w:p>
        </w:tc>
        <w:tc>
          <w:tcPr>
            <w:tcW w:w="14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B1BE3">
              <w:rPr>
                <w:rFonts w:asciiTheme="minorHAnsi" w:eastAsiaTheme="minorHAnsi" w:hAnsiTheme="minorHAnsi" w:cstheme="minorBidi"/>
              </w:rPr>
              <w:t xml:space="preserve">16% </w:t>
            </w:r>
          </w:p>
        </w:tc>
        <w:tc>
          <w:tcPr>
            <w:tcW w:w="12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B1BE3">
              <w:rPr>
                <w:rFonts w:asciiTheme="minorHAnsi" w:eastAsiaTheme="minorHAnsi" w:hAnsiTheme="minorHAnsi" w:cstheme="minorBidi"/>
              </w:rPr>
              <w:t>4% (23)</w:t>
            </w:r>
          </w:p>
        </w:tc>
        <w:tc>
          <w:tcPr>
            <w:tcW w:w="171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B1BE3">
              <w:rPr>
                <w:rFonts w:asciiTheme="minorHAnsi" w:eastAsiaTheme="minorHAnsi" w:hAnsiTheme="minorHAnsi" w:cstheme="minorBidi"/>
              </w:rPr>
              <w:t>3% (22)</w:t>
            </w:r>
          </w:p>
        </w:tc>
        <w:tc>
          <w:tcPr>
            <w:tcW w:w="14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2B73" w:rsidRPr="009B1BE3" w:rsidTr="009E2B73">
        <w:trPr>
          <w:trHeight w:val="331"/>
        </w:trPr>
        <w:tc>
          <w:tcPr>
            <w:tcW w:w="194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Dep</w:t>
            </w:r>
            <w:r w:rsidRPr="009B1BE3">
              <w:rPr>
                <w:rFonts w:asciiTheme="minorHAnsi" w:eastAsiaTheme="minorHAnsi" w:hAnsiTheme="minorHAnsi" w:cstheme="minorBidi"/>
              </w:rPr>
              <w:t xml:space="preserve">t Heads </w:t>
            </w:r>
          </w:p>
        </w:tc>
        <w:tc>
          <w:tcPr>
            <w:tcW w:w="14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  <w:r w:rsidRPr="009B1BE3">
              <w:rPr>
                <w:rFonts w:asciiTheme="minorHAnsi" w:eastAsiaTheme="minorHAnsi" w:hAnsiTheme="minorHAnsi" w:cstheme="minorBidi"/>
              </w:rPr>
              <w:t xml:space="preserve">% </w:t>
            </w:r>
            <w:r>
              <w:rPr>
                <w:rFonts w:asciiTheme="minorHAnsi" w:eastAsiaTheme="minorHAnsi" w:hAnsiTheme="minorHAnsi" w:cstheme="minorBidi"/>
              </w:rPr>
              <w:t xml:space="preserve"> (11/60)</w:t>
            </w:r>
          </w:p>
        </w:tc>
        <w:tc>
          <w:tcPr>
            <w:tcW w:w="14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25% (15/59</w:t>
            </w:r>
            <w:r w:rsidRPr="009B1BE3">
              <w:rPr>
                <w:rFonts w:asciiTheme="minorHAnsi" w:eastAsiaTheme="minorHAnsi" w:hAnsiTheme="minorHAnsi" w:cstheme="minorBidi"/>
              </w:rPr>
              <w:t xml:space="preserve">) </w:t>
            </w:r>
          </w:p>
        </w:tc>
        <w:tc>
          <w:tcPr>
            <w:tcW w:w="12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3% </w:t>
            </w:r>
            <w:r w:rsidRPr="009B1BE3">
              <w:rPr>
                <w:rFonts w:asciiTheme="minorHAnsi" w:eastAsiaTheme="minorHAnsi" w:hAnsiTheme="minorHAnsi" w:cstheme="minorBidi"/>
              </w:rPr>
              <w:t>(2</w:t>
            </w:r>
            <w:r>
              <w:rPr>
                <w:rFonts w:asciiTheme="minorHAnsi" w:eastAsiaTheme="minorHAnsi" w:hAnsiTheme="minorHAnsi" w:cstheme="minorBidi"/>
              </w:rPr>
              <w:t>/60</w:t>
            </w:r>
            <w:r w:rsidRPr="009B1BE3">
              <w:rPr>
                <w:rFonts w:asciiTheme="minorHAnsi" w:eastAsiaTheme="minorHAnsi" w:hAnsiTheme="minorHAnsi" w:cstheme="minorBidi"/>
              </w:rPr>
              <w:t>)*</w:t>
            </w:r>
          </w:p>
        </w:tc>
        <w:tc>
          <w:tcPr>
            <w:tcW w:w="171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5% </w:t>
            </w:r>
            <w:r w:rsidRPr="009B1BE3">
              <w:rPr>
                <w:rFonts w:asciiTheme="minorHAnsi" w:eastAsiaTheme="minorHAnsi" w:hAnsiTheme="minorHAnsi" w:cstheme="minorBidi"/>
              </w:rPr>
              <w:t>(3</w:t>
            </w:r>
            <w:r>
              <w:rPr>
                <w:rFonts w:asciiTheme="minorHAnsi" w:eastAsiaTheme="minorHAnsi" w:hAnsiTheme="minorHAnsi" w:cstheme="minorBidi"/>
              </w:rPr>
              <w:t>/59</w:t>
            </w:r>
            <w:r w:rsidRPr="009B1BE3">
              <w:rPr>
                <w:rFonts w:asciiTheme="minorHAnsi" w:eastAsiaTheme="minorHAnsi" w:hAnsiTheme="minorHAnsi" w:cstheme="minorBidi"/>
              </w:rPr>
              <w:t>)*</w:t>
            </w:r>
          </w:p>
        </w:tc>
        <w:tc>
          <w:tcPr>
            <w:tcW w:w="14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2B73" w:rsidRPr="009B1BE3" w:rsidTr="009E2B73">
        <w:trPr>
          <w:trHeight w:val="196"/>
        </w:trPr>
        <w:tc>
          <w:tcPr>
            <w:tcW w:w="194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B1BE3">
              <w:rPr>
                <w:rFonts w:asciiTheme="minorHAnsi" w:eastAsiaTheme="minorHAnsi" w:hAnsiTheme="minorHAnsi" w:cstheme="minorBidi"/>
              </w:rPr>
              <w:t xml:space="preserve">Associate Deans </w:t>
            </w:r>
          </w:p>
        </w:tc>
        <w:tc>
          <w:tcPr>
            <w:tcW w:w="14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</w:t>
            </w:r>
            <w:r w:rsidRPr="009B1BE3">
              <w:rPr>
                <w:rFonts w:asciiTheme="minorHAnsi" w:eastAsiaTheme="minorHAnsi" w:hAnsiTheme="minorHAnsi" w:cstheme="minorBidi"/>
              </w:rPr>
              <w:t xml:space="preserve">% </w:t>
            </w:r>
            <w:r>
              <w:rPr>
                <w:rFonts w:asciiTheme="minorHAnsi" w:eastAsiaTheme="minorHAnsi" w:hAnsiTheme="minorHAnsi" w:cstheme="minorBidi"/>
              </w:rPr>
              <w:t>(7/29)</w:t>
            </w:r>
          </w:p>
        </w:tc>
        <w:tc>
          <w:tcPr>
            <w:tcW w:w="14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B1BE3">
              <w:rPr>
                <w:rFonts w:asciiTheme="minorHAnsi" w:eastAsiaTheme="minorHAnsi" w:hAnsiTheme="minorHAnsi" w:cstheme="minorBidi"/>
              </w:rPr>
              <w:t>30% (8</w:t>
            </w:r>
            <w:r>
              <w:rPr>
                <w:rFonts w:asciiTheme="minorHAnsi" w:eastAsiaTheme="minorHAnsi" w:hAnsiTheme="minorHAnsi" w:cstheme="minorBidi"/>
              </w:rPr>
              <w:t>/27</w:t>
            </w:r>
            <w:r w:rsidRPr="009B1BE3">
              <w:rPr>
                <w:rFonts w:asciiTheme="minorHAnsi" w:eastAsiaTheme="minorHAnsi" w:hAnsiTheme="minorHAnsi" w:cstheme="minorBidi"/>
              </w:rPr>
              <w:t xml:space="preserve">)  </w:t>
            </w:r>
          </w:p>
        </w:tc>
        <w:tc>
          <w:tcPr>
            <w:tcW w:w="12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7%(2/29)**</w:t>
            </w:r>
          </w:p>
        </w:tc>
        <w:tc>
          <w:tcPr>
            <w:tcW w:w="171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B1BE3">
              <w:rPr>
                <w:rFonts w:asciiTheme="minorHAnsi" w:eastAsiaTheme="minorHAnsi" w:hAnsiTheme="minorHAnsi" w:cstheme="minorBidi"/>
              </w:rPr>
              <w:t>11% (3</w:t>
            </w:r>
            <w:r>
              <w:rPr>
                <w:rFonts w:asciiTheme="minorHAnsi" w:eastAsiaTheme="minorHAnsi" w:hAnsiTheme="minorHAnsi" w:cstheme="minorBidi"/>
              </w:rPr>
              <w:t>/27</w:t>
            </w:r>
            <w:r w:rsidRPr="009B1BE3">
              <w:rPr>
                <w:rFonts w:asciiTheme="minorHAnsi" w:eastAsiaTheme="minorHAnsi" w:hAnsiTheme="minorHAnsi" w:cstheme="minorBidi"/>
              </w:rPr>
              <w:t>)**</w:t>
            </w:r>
          </w:p>
        </w:tc>
        <w:tc>
          <w:tcPr>
            <w:tcW w:w="14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2B73" w:rsidRPr="009B1BE3" w:rsidTr="009E2B73">
        <w:trPr>
          <w:trHeight w:val="268"/>
        </w:trPr>
        <w:tc>
          <w:tcPr>
            <w:tcW w:w="194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B1BE3">
              <w:rPr>
                <w:rFonts w:asciiTheme="minorHAnsi" w:eastAsiaTheme="minorHAnsi" w:hAnsiTheme="minorHAnsi" w:cstheme="minorBidi"/>
              </w:rPr>
              <w:t xml:space="preserve">Deans </w:t>
            </w:r>
          </w:p>
        </w:tc>
        <w:tc>
          <w:tcPr>
            <w:tcW w:w="14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  <w:r w:rsidRPr="009B1BE3">
              <w:rPr>
                <w:rFonts w:asciiTheme="minorHAnsi" w:eastAsiaTheme="minorHAnsi" w:hAnsiTheme="minorHAnsi" w:cstheme="minorBidi"/>
              </w:rPr>
              <w:t xml:space="preserve">% </w:t>
            </w:r>
            <w:r>
              <w:rPr>
                <w:rFonts w:asciiTheme="minorHAnsi" w:eastAsiaTheme="minorHAnsi" w:hAnsiTheme="minorHAnsi" w:cstheme="minorBidi"/>
              </w:rPr>
              <w:t>(3/12)</w:t>
            </w:r>
          </w:p>
        </w:tc>
        <w:tc>
          <w:tcPr>
            <w:tcW w:w="14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2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17% (2/12)</w:t>
            </w:r>
            <w:r w:rsidRPr="00F12EDD">
              <w:rPr>
                <w:rFonts w:ascii="Trebuchet MS" w:eastAsiaTheme="minorHAnsi" w:hAnsi="Trebuchet MS" w:cstheme="minorBidi"/>
                <w:vertAlign w:val="superscript"/>
              </w:rPr>
              <w:t>†</w:t>
            </w:r>
          </w:p>
        </w:tc>
        <w:tc>
          <w:tcPr>
            <w:tcW w:w="171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B1BE3">
              <w:rPr>
                <w:rFonts w:asciiTheme="minorHAnsi" w:eastAsiaTheme="minorHAnsi" w:hAnsiTheme="minorHAnsi" w:cstheme="minorBidi"/>
              </w:rPr>
              <w:t>17% (2</w:t>
            </w:r>
            <w:r>
              <w:rPr>
                <w:rFonts w:asciiTheme="minorHAnsi" w:eastAsiaTheme="minorHAnsi" w:hAnsiTheme="minorHAnsi" w:cstheme="minorBidi"/>
              </w:rPr>
              <w:t>/12</w:t>
            </w:r>
            <w:r w:rsidRPr="009B1BE3">
              <w:rPr>
                <w:rFonts w:asciiTheme="minorHAnsi" w:eastAsiaTheme="minorHAnsi" w:hAnsiTheme="minorHAnsi" w:cstheme="minorBidi"/>
              </w:rPr>
              <w:t>)</w:t>
            </w:r>
            <w:r w:rsidRPr="00F12EDD">
              <w:rPr>
                <w:rFonts w:ascii="Trebuchet MS" w:eastAsiaTheme="minorHAnsi" w:hAnsi="Trebuchet MS" w:cstheme="minorBidi"/>
                <w:vertAlign w:val="superscript"/>
              </w:rPr>
              <w:t>†</w:t>
            </w:r>
          </w:p>
        </w:tc>
        <w:tc>
          <w:tcPr>
            <w:tcW w:w="14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</w:tcPr>
          <w:p w:rsidR="009E2B73" w:rsidRPr="009B1BE3" w:rsidRDefault="009E2B73" w:rsidP="009E2B73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761E66" w:rsidRPr="00761E66" w:rsidRDefault="00280C43" w:rsidP="007E43B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28" type="#_x0000_t202" style="position:absolute;margin-left:-27pt;margin-top:104.65pt;width:558.75pt;height:64.3pt;z-index:251664384;mso-height-percent:200;mso-position-horizontal-relative:text;mso-position-vertical-relative:text;mso-height-percent:200;mso-width-relative:margin;mso-height-relative:margin" strokecolor="#c0504d" strokeweight="2.5pt">
            <v:shadow color="#868686"/>
            <v:textbox style="mso-fit-shape-to-text:t">
              <w:txbxContent>
                <w:p w:rsidR="006B6690" w:rsidRPr="006B6690" w:rsidRDefault="006B6690">
                  <w:pPr>
                    <w:rPr>
                      <w:sz w:val="28"/>
                      <w:szCs w:val="28"/>
                    </w:rPr>
                  </w:pPr>
                  <w:r w:rsidRPr="006B6690">
                    <w:rPr>
                      <w:sz w:val="28"/>
                      <w:szCs w:val="28"/>
                    </w:rPr>
                    <w:t>Actions that Would Make the Projections Labeled as “Possible” Become Reality (i.e. assumptions underlying the projections)</w:t>
                  </w:r>
                </w:p>
                <w:p w:rsidR="00280C43" w:rsidRPr="006B6690" w:rsidRDefault="006B6690" w:rsidP="006B6690">
                  <w:pPr>
                    <w:numPr>
                      <w:ilvl w:val="0"/>
                      <w:numId w:val="6"/>
                    </w:numPr>
                  </w:pPr>
                  <w:r w:rsidRPr="006B6690">
                    <w:t>Colleges with less than 30% ANH or female faculty: Each department hires 1 tenured ANH and one tenured female faculty member between 2006 and 2011</w:t>
                  </w:r>
                </w:p>
                <w:p w:rsidR="006B6690" w:rsidRDefault="006B6690" w:rsidP="006B6690">
                  <w:pPr>
                    <w:numPr>
                      <w:ilvl w:val="0"/>
                      <w:numId w:val="6"/>
                    </w:numPr>
                  </w:pPr>
                  <w:r w:rsidRPr="006B6690">
                    <w:t>Each college retains and promotes one additional ANH assistant professor and one woman compared to past pattern.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TW"/>
        </w:rPr>
        <w:pict>
          <v:shape id="_x0000_s1027" type="#_x0000_t202" style="position:absolute;margin-left:-22.6pt;margin-top:405.1pt;width:554.75pt;height:114.35pt;z-index:251662336;mso-position-horizontal-relative:text;mso-position-vertical-relative:text;mso-width-relative:margin;mso-height-relative:margin">
            <v:textbox style="mso-next-textbox:#_x0000_s1027">
              <w:txbxContent>
                <w:p w:rsidR="009E2B73" w:rsidRDefault="009E2B73">
                  <w:pPr>
                    <w:rPr>
                      <w:sz w:val="28"/>
                      <w:szCs w:val="28"/>
                    </w:rPr>
                  </w:pPr>
                  <w:r w:rsidRPr="006F072C">
                    <w:rPr>
                      <w:sz w:val="28"/>
                      <w:szCs w:val="28"/>
                    </w:rPr>
                    <w:t xml:space="preserve">What actions would make the “Possible” become reality? </w:t>
                  </w:r>
                </w:p>
                <w:p w:rsidR="009E2B73" w:rsidRDefault="009E2B73" w:rsidP="006F072C">
                  <w:pPr>
                    <w:numPr>
                      <w:ilvl w:val="1"/>
                      <w:numId w:val="5"/>
                    </w:numPr>
                  </w:pPr>
                  <w:r w:rsidRPr="006F072C">
                    <w:t>Colleges with less than 30% ANH or female faculty: Each department hires 1 tenured ANH and one tenured female faculty member between 2006 and 201</w:t>
                  </w:r>
                  <w:r>
                    <w:t>1</w:t>
                  </w:r>
                </w:p>
                <w:p w:rsidR="009E2B73" w:rsidRPr="006F072C" w:rsidRDefault="009E2B73" w:rsidP="006F072C">
                  <w:pPr>
                    <w:numPr>
                      <w:ilvl w:val="1"/>
                      <w:numId w:val="5"/>
                    </w:numPr>
                  </w:pPr>
                  <w:r w:rsidRPr="006F072C">
                    <w:t xml:space="preserve">Each college retains and promotes one additional ANH assistant professor and one woman compared to </w:t>
                  </w:r>
                  <w:r>
                    <w:t xml:space="preserve">their </w:t>
                  </w:r>
                  <w:r w:rsidRPr="006F072C">
                    <w:t>past pattern</w:t>
                  </w:r>
                </w:p>
              </w:txbxContent>
            </v:textbox>
          </v:shape>
        </w:pict>
      </w:r>
    </w:p>
    <w:sectPr w:rsidR="00761E66" w:rsidRPr="00761E66" w:rsidSect="00E90A8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B73" w:rsidRDefault="009E2B73" w:rsidP="00761E66">
      <w:pPr>
        <w:spacing w:after="0" w:line="240" w:lineRule="auto"/>
      </w:pPr>
      <w:r>
        <w:separator/>
      </w:r>
    </w:p>
  </w:endnote>
  <w:endnote w:type="continuationSeparator" w:id="0">
    <w:p w:rsidR="009E2B73" w:rsidRDefault="009E2B73" w:rsidP="0076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73" w:rsidRPr="00CF73DB" w:rsidRDefault="009E2B73" w:rsidP="00761E66">
    <w:pPr>
      <w:jc w:val="center"/>
      <w:rPr>
        <w:sz w:val="24"/>
        <w:szCs w:val="24"/>
      </w:rPr>
    </w:pPr>
    <w:r>
      <w:rPr>
        <w:sz w:val="24"/>
        <w:szCs w:val="24"/>
      </w:rPr>
      <w:t>Funded by NSF</w:t>
    </w:r>
    <w:r w:rsidRPr="00CF73DB">
      <w:rPr>
        <w:sz w:val="24"/>
        <w:szCs w:val="24"/>
      </w:rPr>
      <w:t>, the NC State Provost Office, and the NC State Academic Colleges</w:t>
    </w:r>
  </w:p>
  <w:p w:rsidR="009E2B73" w:rsidRDefault="009E2B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B73" w:rsidRDefault="009E2B73" w:rsidP="00761E66">
      <w:pPr>
        <w:spacing w:after="0" w:line="240" w:lineRule="auto"/>
      </w:pPr>
      <w:r>
        <w:separator/>
      </w:r>
    </w:p>
  </w:footnote>
  <w:footnote w:type="continuationSeparator" w:id="0">
    <w:p w:rsidR="009E2B73" w:rsidRDefault="009E2B73" w:rsidP="0076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962"/>
    <w:multiLevelType w:val="hybridMultilevel"/>
    <w:tmpl w:val="46EC391E"/>
    <w:lvl w:ilvl="0" w:tplc="E7EABF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2D8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895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E842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C645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45E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26A5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DEEA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51F3C"/>
    <w:multiLevelType w:val="hybridMultilevel"/>
    <w:tmpl w:val="E86655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37768"/>
    <w:multiLevelType w:val="hybridMultilevel"/>
    <w:tmpl w:val="8CF06C8C"/>
    <w:lvl w:ilvl="0" w:tplc="9988A6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010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64C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8C6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CD1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E8A2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E75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A23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835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7B2491"/>
    <w:multiLevelType w:val="hybridMultilevel"/>
    <w:tmpl w:val="F5A442F2"/>
    <w:lvl w:ilvl="0" w:tplc="96AE13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29DA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5AEC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A0E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47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0EB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A33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CD0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5099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9801E5"/>
    <w:multiLevelType w:val="hybridMultilevel"/>
    <w:tmpl w:val="5692A8C8"/>
    <w:lvl w:ilvl="0" w:tplc="DA0A7148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8D66BA"/>
    <w:multiLevelType w:val="hybridMultilevel"/>
    <w:tmpl w:val="9AD8E6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962F3"/>
    <w:multiLevelType w:val="hybridMultilevel"/>
    <w:tmpl w:val="A624442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010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64C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8C6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CD1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E8A2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E75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A23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835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5724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785"/>
    <w:rsid w:val="00187B1E"/>
    <w:rsid w:val="00224A56"/>
    <w:rsid w:val="00280C43"/>
    <w:rsid w:val="003E24D1"/>
    <w:rsid w:val="00474E5F"/>
    <w:rsid w:val="00476785"/>
    <w:rsid w:val="004A7E91"/>
    <w:rsid w:val="004C7CF5"/>
    <w:rsid w:val="00635B58"/>
    <w:rsid w:val="0068784F"/>
    <w:rsid w:val="006B6690"/>
    <w:rsid w:val="006F072C"/>
    <w:rsid w:val="00761E66"/>
    <w:rsid w:val="007E43B1"/>
    <w:rsid w:val="009148B2"/>
    <w:rsid w:val="009A3B3C"/>
    <w:rsid w:val="009B1BE3"/>
    <w:rsid w:val="009B3A59"/>
    <w:rsid w:val="009E2B73"/>
    <w:rsid w:val="009F4FE7"/>
    <w:rsid w:val="00CF73DB"/>
    <w:rsid w:val="00E90A8D"/>
    <w:rsid w:val="00F1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1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E66"/>
  </w:style>
  <w:style w:type="paragraph" w:styleId="Footer">
    <w:name w:val="footer"/>
    <w:basedOn w:val="Normal"/>
    <w:link w:val="FooterChar"/>
    <w:uiPriority w:val="99"/>
    <w:semiHidden/>
    <w:unhideWhenUsed/>
    <w:rsid w:val="00761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E66"/>
  </w:style>
  <w:style w:type="paragraph" w:styleId="ListParagraph">
    <w:name w:val="List Paragraph"/>
    <w:basedOn w:val="Normal"/>
    <w:uiPriority w:val="34"/>
    <w:qFormat/>
    <w:rsid w:val="00761E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82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99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csu.edu/odi/advance/images/log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ncsu.edu/odi/advance/images/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gumpertz</dc:creator>
  <cp:keywords/>
  <dc:description/>
  <cp:lastModifiedBy>gumpertz</cp:lastModifiedBy>
  <cp:revision>2</cp:revision>
  <cp:lastPrinted>2010-09-08T12:41:00Z</cp:lastPrinted>
  <dcterms:created xsi:type="dcterms:W3CDTF">2010-09-08T18:03:00Z</dcterms:created>
  <dcterms:modified xsi:type="dcterms:W3CDTF">2010-09-08T18:03:00Z</dcterms:modified>
</cp:coreProperties>
</file>